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牟定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县2023年政府预算涉及空表公开</w:t>
      </w:r>
    </w:p>
    <w:p>
      <w:pPr>
        <w:spacing w:line="565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情况说明</w:t>
      </w:r>
    </w:p>
    <w:p>
      <w:pPr>
        <w:spacing w:line="565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spacing w:line="565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年政府预算公开表中涉及以下内容为空表公开：</w:t>
      </w:r>
    </w:p>
    <w:p>
      <w:pPr>
        <w:spacing w:line="565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1．附件1—6：202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县本级一般公共预算支出表（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方正仿宋简体" w:cs="Times New Roman"/>
          <w:sz w:val="32"/>
          <w:szCs w:val="32"/>
        </w:rPr>
        <w:t>对下转移支付项目）</w:t>
      </w:r>
    </w:p>
    <w:p>
      <w:pPr>
        <w:spacing w:line="565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—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5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县本级政府性基金支出表（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ascii="Times New Roman" w:hAnsi="Times New Roman" w:eastAsia="方正仿宋简体" w:cs="Times New Roman"/>
          <w:sz w:val="32"/>
          <w:szCs w:val="32"/>
        </w:rPr>
        <w:t>对下转移支付）</w:t>
      </w:r>
    </w:p>
    <w:p>
      <w:pPr>
        <w:spacing w:line="565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．附件3—5：202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县本级国有资本经营预算转移支付表（分地区）</w:t>
      </w:r>
    </w:p>
    <w:p>
      <w:pPr>
        <w:spacing w:line="565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．附件3—6：202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县本级国有资本经营预算转移支付表（分项目）</w:t>
      </w:r>
    </w:p>
    <w:p>
      <w:pPr>
        <w:spacing w:line="565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．附件5—8：楚雄州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年年初新增地方政府债券资金安排表</w:t>
      </w:r>
    </w:p>
    <w:p>
      <w:pPr>
        <w:spacing w:line="565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以上表为空表，主要原因是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县实行乡财县管，乡镇视同为一个预算单位管理，无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一般公共预算、政府性基金预算、国有资本经营预算不在</w:t>
      </w:r>
      <w:r>
        <w:rPr>
          <w:rFonts w:ascii="Times New Roman" w:hAnsi="Times New Roman" w:eastAsia="方正仿宋简体" w:cs="Times New Roman"/>
          <w:sz w:val="32"/>
          <w:szCs w:val="32"/>
        </w:rPr>
        <w:t>对下转移支付，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县未争取到202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年提前批次专项债券资金，故以上相关表格为空。</w:t>
      </w:r>
      <w:bookmarkStart w:id="0" w:name="_GoBack"/>
      <w:bookmarkEnd w:id="0"/>
    </w:p>
    <w:p>
      <w:pPr>
        <w:spacing w:line="565" w:lineRule="exact"/>
        <w:ind w:firstLine="6080" w:firstLineChars="19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牟定</w:t>
      </w:r>
      <w:r>
        <w:rPr>
          <w:rFonts w:ascii="Times New Roman" w:hAnsi="Times New Roman" w:eastAsia="方正仿宋简体" w:cs="Times New Roman"/>
          <w:sz w:val="32"/>
          <w:szCs w:val="32"/>
        </w:rPr>
        <w:t>县财政局</w:t>
      </w:r>
    </w:p>
    <w:p>
      <w:pPr>
        <w:spacing w:line="565" w:lineRule="exact"/>
        <w:ind w:firstLine="5760" w:firstLineChars="1800"/>
        <w:jc w:val="both"/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年2月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sectPr>
      <w:pgSz w:w="11906" w:h="16838"/>
      <w:pgMar w:top="1440" w:right="1361" w:bottom="1440" w:left="1587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75C06"/>
    <w:rsid w:val="6C4229FB"/>
    <w:rsid w:val="71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2023-03-01T07:09:41Z</dcterms:created>
  <dc:creator>Administrator</dc:creator>
  <cp:lastModifiedBy>Administrator</cp:lastModifiedBy>
  <dcterms:modified xsi:type="dcterms:W3CDTF">2023-03-01T07:34:10Z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