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jc w:val="both"/>
        <w:textAlignment w:val="auto"/>
        <w:rPr>
          <w:rFonts w:hint="eastAsia" w:ascii="方正小标宋简体" w:hAnsi="方正小标宋简体" w:eastAsia="方正小标宋简体" w:cs="方正小标宋简体"/>
          <w:sz w:val="44"/>
          <w:szCs w:val="44"/>
          <w:lang w:eastAsia="zh-CN"/>
        </w:rPr>
      </w:pPr>
      <w:r>
        <w:rPr>
          <w:rFonts w:hint="eastAsia" w:ascii="方正仿宋简体" w:hAnsi="方正仿宋简体" w:eastAsia="方正仿宋简体" w:cs="方正仿宋简体"/>
          <w:sz w:val="32"/>
          <w:szCs w:val="32"/>
          <w:lang w:val="en-US" w:eastAsia="zh-CN"/>
        </w:rPr>
        <w:t>附件1：</w:t>
      </w:r>
    </w:p>
    <w:p>
      <w:pPr>
        <w:keepNext w:val="0"/>
        <w:keepLines w:val="0"/>
        <w:pageBreakBefore w:val="0"/>
        <w:widowControl w:val="0"/>
        <w:kinsoku/>
        <w:overflowPunct/>
        <w:topLinePunct w:val="0"/>
        <w:autoSpaceDE/>
        <w:autoSpaceDN/>
        <w:bidi w:val="0"/>
        <w:adjustRightInd/>
        <w:snapToGrid/>
        <w:spacing w:line="560" w:lineRule="exact"/>
        <w:ind w:left="0"/>
        <w:jc w:val="center"/>
        <w:textAlignment w:val="auto"/>
        <w:rPr>
          <w:rFonts w:hint="default"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牟定县2021年度第三批城镇建设用地</w:t>
      </w:r>
      <w:r>
        <w:rPr>
          <w:rFonts w:hint="eastAsia" w:ascii="方正小标宋简体" w:hAnsi="方正小标宋简体" w:eastAsia="方正小标宋简体" w:cs="方正小标宋简体"/>
          <w:sz w:val="44"/>
          <w:szCs w:val="44"/>
          <w:lang w:val="en-US" w:eastAsia="zh-CN"/>
        </w:rPr>
        <w:t>项目</w:t>
      </w:r>
    </w:p>
    <w:bookmarkEnd w:id="0"/>
    <w:p>
      <w:pPr>
        <w:keepNext w:val="0"/>
        <w:keepLines w:val="0"/>
        <w:pageBreakBefore w:val="0"/>
        <w:widowControl w:val="0"/>
        <w:kinsoku/>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征地补偿安置方案</w:t>
      </w:r>
    </w:p>
    <w:p>
      <w:pPr>
        <w:keepNext w:val="0"/>
        <w:keepLines w:val="0"/>
        <w:pageBreakBefore w:val="0"/>
        <w:widowControl w:val="0"/>
        <w:kinsoku/>
        <w:overflowPunct/>
        <w:topLinePunct w:val="0"/>
        <w:autoSpaceDE/>
        <w:autoSpaceDN/>
        <w:bidi w:val="0"/>
        <w:adjustRightInd/>
        <w:snapToGrid/>
        <w:spacing w:line="560" w:lineRule="exact"/>
        <w:ind w:left="0" w:leftChars="0" w:firstLine="880" w:firstLineChars="200"/>
        <w:jc w:val="both"/>
        <w:textAlignment w:val="auto"/>
        <w:rPr>
          <w:rFonts w:hint="eastAsia" w:ascii="宋体" w:hAnsi="宋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牟定县人民政府依据牟定县2021年度第三批城镇建设用地</w:t>
      </w:r>
      <w:r>
        <w:rPr>
          <w:rFonts w:hint="eastAsia" w:ascii="方正仿宋简体" w:hAnsi="方正仿宋简体" w:eastAsia="方正仿宋简体" w:cs="方正仿宋简体"/>
          <w:sz w:val="32"/>
          <w:szCs w:val="32"/>
          <w:lang w:val="en-US" w:eastAsia="zh-CN"/>
        </w:rPr>
        <w:t>项目</w:t>
      </w:r>
      <w:r>
        <w:rPr>
          <w:rFonts w:hint="eastAsia" w:ascii="方正仿宋简体" w:hAnsi="方正仿宋简体" w:eastAsia="方正仿宋简体" w:cs="方正仿宋简体"/>
          <w:sz w:val="32"/>
          <w:szCs w:val="32"/>
          <w:lang w:eastAsia="zh-CN"/>
        </w:rPr>
        <w:t>拟征收土地社会稳定风险评估结果，结合土地现状调查情况，组织自然资源局、财政局、人力资源和社会保障局、农业农村局、林草局、住建局等相关部门制定了本方案，具体</w:t>
      </w:r>
      <w:r>
        <w:rPr>
          <w:rFonts w:hint="eastAsia" w:ascii="方正仿宋简体" w:hAnsi="方正仿宋简体" w:eastAsia="方正仿宋简体" w:cs="方正仿宋简体"/>
          <w:sz w:val="32"/>
          <w:szCs w:val="32"/>
          <w:lang w:val="en-US" w:eastAsia="zh-CN"/>
        </w:rPr>
        <w:t>内容</w:t>
      </w:r>
      <w:r>
        <w:rPr>
          <w:rFonts w:hint="eastAsia" w:ascii="方正仿宋简体" w:hAnsi="方正仿宋简体" w:eastAsia="方正仿宋简体" w:cs="方正仿宋简体"/>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eastAsia="zh-CN"/>
        </w:rPr>
        <w:t>一、</w:t>
      </w:r>
      <w:r>
        <w:rPr>
          <w:rFonts w:hint="eastAsia" w:ascii="方正宋黑简体" w:hAnsi="方正宋黑简体" w:eastAsia="方正宋黑简体" w:cs="方正宋黑简体"/>
          <w:b w:val="0"/>
          <w:bCs w:val="0"/>
          <w:sz w:val="32"/>
          <w:szCs w:val="32"/>
          <w:lang w:val="en-US" w:eastAsia="zh-CN"/>
        </w:rPr>
        <w:t>征收范围</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本项目拟征收牟定县</w:t>
      </w:r>
      <w:r>
        <w:rPr>
          <w:rFonts w:hint="eastAsia" w:ascii="方正仿宋简体" w:hAnsi="方正仿宋简体" w:eastAsia="方正仿宋简体" w:cs="方正仿宋简体"/>
          <w:sz w:val="32"/>
          <w:szCs w:val="32"/>
          <w:lang w:eastAsia="zh-CN"/>
        </w:rPr>
        <w:t>新桥镇新桥村民委员会</w:t>
      </w:r>
      <w:r>
        <w:rPr>
          <w:rFonts w:hint="default" w:ascii="方正仿宋简体" w:hAnsi="方正仿宋简体" w:eastAsia="方正仿宋简体" w:cs="方正仿宋简体"/>
          <w:sz w:val="32"/>
          <w:szCs w:val="32"/>
          <w:lang w:val="en-US" w:eastAsia="zh-CN"/>
        </w:rPr>
        <w:t>清水河第一</w:t>
      </w:r>
      <w:r>
        <w:rPr>
          <w:rFonts w:hint="eastAsia" w:ascii="方正仿宋简体" w:hAnsi="方正仿宋简体" w:eastAsia="方正仿宋简体" w:cs="方正仿宋简体"/>
          <w:sz w:val="32"/>
          <w:szCs w:val="32"/>
          <w:lang w:val="en-US" w:eastAsia="zh-CN"/>
        </w:rPr>
        <w:t>村</w:t>
      </w:r>
      <w:r>
        <w:rPr>
          <w:rFonts w:hint="default" w:ascii="方正仿宋简体" w:hAnsi="方正仿宋简体" w:eastAsia="方正仿宋简体" w:cs="方正仿宋简体"/>
          <w:sz w:val="32"/>
          <w:szCs w:val="32"/>
          <w:lang w:val="en-US" w:eastAsia="zh-CN"/>
        </w:rPr>
        <w:t>民小组、杨家山村民小组、水箐村民小组</w:t>
      </w:r>
      <w:r>
        <w:rPr>
          <w:rFonts w:hint="eastAsia" w:ascii="方正仿宋简体" w:hAnsi="方正仿宋简体" w:eastAsia="方正仿宋简体" w:cs="方正仿宋简体"/>
          <w:sz w:val="32"/>
          <w:szCs w:val="32"/>
          <w:lang w:val="en-US" w:eastAsia="zh-CN"/>
        </w:rPr>
        <w:t>。拟征收土地地块四至清楚，面积准确，权属无争议。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val="en-US" w:eastAsia="zh-CN"/>
        </w:rPr>
        <w:t>二、土地现状</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牟定县2021年度第三批城镇建设用地选址位于牟定县新桥镇新桥村民委员会，征地涉及新桥村民委员会</w:t>
      </w:r>
      <w:r>
        <w:rPr>
          <w:rFonts w:hint="default" w:ascii="方正仿宋简体" w:hAnsi="方正仿宋简体" w:eastAsia="方正仿宋简体" w:cs="方正仿宋简体"/>
          <w:sz w:val="32"/>
          <w:szCs w:val="32"/>
          <w:lang w:val="en-US" w:eastAsia="zh-CN"/>
        </w:rPr>
        <w:t>清水河第一</w:t>
      </w:r>
      <w:r>
        <w:rPr>
          <w:rFonts w:hint="eastAsia" w:ascii="方正仿宋简体" w:hAnsi="方正仿宋简体" w:eastAsia="方正仿宋简体" w:cs="方正仿宋简体"/>
          <w:sz w:val="32"/>
          <w:szCs w:val="32"/>
          <w:lang w:val="en-US" w:eastAsia="zh-CN"/>
        </w:rPr>
        <w:t>村</w:t>
      </w:r>
      <w:r>
        <w:rPr>
          <w:rFonts w:hint="default" w:ascii="方正仿宋简体" w:hAnsi="方正仿宋简体" w:eastAsia="方正仿宋简体" w:cs="方正仿宋简体"/>
          <w:sz w:val="32"/>
          <w:szCs w:val="32"/>
          <w:lang w:val="en-US" w:eastAsia="zh-CN"/>
        </w:rPr>
        <w:t>民小组、杨家山村民小组、水箐村民小组</w:t>
      </w:r>
      <w:r>
        <w:rPr>
          <w:rFonts w:hint="eastAsia" w:ascii="方正仿宋简体" w:hAnsi="方正仿宋简体" w:eastAsia="方正仿宋简体" w:cs="方正仿宋简体"/>
          <w:sz w:val="32"/>
          <w:szCs w:val="32"/>
          <w:lang w:val="en-US" w:eastAsia="zh-CN"/>
        </w:rPr>
        <w:t>集体土地21.4015公顷,按权属和地类分:集体土地21.4015公顷,其中农用地20.4806公顷(林地20.0297公顷，其他农用地0.4509公顷)、未利用地0.9209公顷;未占用国有土地。未占用永久基本农田,未占用生态保护红线及各级、各类保护区，该项目无违法用地。</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val="en-US" w:eastAsia="zh-CN"/>
        </w:rPr>
        <w:t>三、征收的目的</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本次拟征收土地用于</w:t>
      </w:r>
      <w:r>
        <w:rPr>
          <w:rFonts w:hint="eastAsia" w:ascii="宋体" w:hAnsi="宋体" w:eastAsia="方正仿宋简体" w:cs="方正仿宋简体"/>
          <w:sz w:val="32"/>
          <w:szCs w:val="32"/>
          <w:lang w:eastAsia="zh-CN"/>
        </w:rPr>
        <w:t>牟定县2021年度第三批城镇建设用地</w:t>
      </w:r>
      <w:r>
        <w:rPr>
          <w:rFonts w:hint="eastAsia" w:ascii="宋体" w:hAnsi="宋体" w:eastAsia="方正仿宋简体" w:cs="方正仿宋简体"/>
          <w:sz w:val="32"/>
          <w:szCs w:val="32"/>
          <w:lang w:val="en-US" w:eastAsia="zh-CN"/>
        </w:rPr>
        <w:t>项目，符合《中华人民共和国土地管理法》第四十五条规定，为公共利益的需要可以征收土地情形。</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val="en-US" w:eastAsia="zh-CN"/>
        </w:rPr>
        <w:t>四、征地补偿标准</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sz w:val="32"/>
          <w:szCs w:val="32"/>
          <w:lang w:val="en-US" w:eastAsia="zh-CN"/>
        </w:rPr>
        <w:t>牟定县2021年度第三批城镇建设用地征收土地补偿标准参照《云南省自然资源厅关于公布实施全省征收农用地区片综合地价的通知》（云自然资〔2020〕173号）。耕地（园地）外其他地类的征地补偿测算标准符合牟定县政府制定标准，林地补偿测算符合有关规定和《云南省林地管理条例》规定的标准。本项目征地总费用为：</w:t>
      </w:r>
      <w:r>
        <w:rPr>
          <w:rFonts w:hint="eastAsia" w:ascii="方正仿宋简体" w:hAnsi="方正仿宋简体" w:eastAsia="方正仿宋简体" w:cs="方正仿宋简体"/>
          <w:color w:val="auto"/>
          <w:sz w:val="32"/>
          <w:szCs w:val="32"/>
          <w:lang w:val="en-US" w:eastAsia="zh-CN"/>
        </w:rPr>
        <w:t>450.9482万元。</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val="en-US" w:eastAsia="zh-CN"/>
        </w:rPr>
        <w:t>五、农村村民住宅、地上附着物及青苗补偿费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实地调查，该项目不涉及农村村民住宅，青苗和地上附着物补偿仅涉及林木补偿，补偿标准按照《牟定县人民政府关于实施新一轮统一征地补偿标准的通知》（牟政发〔2015〕47号）确定林木补偿按5000元/亩计算。</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val="en-US" w:eastAsia="zh-CN"/>
        </w:rPr>
        <w:t>六、安置方式</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该项目不涉及耕地、不需要安置农业人口。</w:t>
      </w:r>
    </w:p>
    <w:p>
      <w:pPr>
        <w:keepNext w:val="0"/>
        <w:keepLines w:val="0"/>
        <w:pageBreakBefore w:val="0"/>
        <w:widowControl w:val="0"/>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方正宋黑简体" w:hAnsi="方正宋黑简体" w:eastAsia="方正宋黑简体" w:cs="方正宋黑简体"/>
          <w:b w:val="0"/>
          <w:bCs w:val="0"/>
          <w:sz w:val="32"/>
          <w:szCs w:val="32"/>
          <w:lang w:val="en-US" w:eastAsia="zh-CN"/>
        </w:rPr>
      </w:pPr>
      <w:r>
        <w:rPr>
          <w:rFonts w:hint="eastAsia" w:ascii="方正宋黑简体" w:hAnsi="方正宋黑简体" w:eastAsia="方正宋黑简体" w:cs="方正宋黑简体"/>
          <w:b w:val="0"/>
          <w:bCs w:val="0"/>
          <w:sz w:val="32"/>
          <w:szCs w:val="32"/>
          <w:lang w:val="en-US" w:eastAsia="zh-CN"/>
        </w:rPr>
        <w:t>七、社会保障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firstLine="640" w:firstLineChars="200"/>
        <w:jc w:val="both"/>
        <w:textAlignment w:val="auto"/>
        <w:rPr>
          <w:rFonts w:hint="eastAsia" w:ascii="宋体" w:hAnsi="宋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牟定县人民政府先后按“先保后征”的要求已全额缴入当地社保专户642.045万元。用地批准后，由当地政府（或劳动保障部门）按有关规定要求将符合条件的被征农民纳入社会保障体系，可以做到被征地农民原有生活水平不降低，长远生计有保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jc w:val="center"/>
        <w:textAlignment w:val="auto"/>
        <w:rPr>
          <w:rFonts w:hint="default"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 xml:space="preserve">                                牟定县人民政府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jc w:val="right"/>
        <w:textAlignment w:val="auto"/>
        <w:rPr>
          <w:rFonts w:hint="eastAsia" w:ascii="宋体" w:hAnsi="宋体" w:eastAsia="方正仿宋简体" w:cs="方正仿宋简体"/>
          <w:sz w:val="32"/>
          <w:szCs w:val="32"/>
          <w:lang w:val="en-US" w:eastAsia="zh-CN"/>
        </w:rPr>
      </w:pPr>
      <w:r>
        <w:rPr>
          <w:rFonts w:hint="eastAsia" w:ascii="宋体" w:hAnsi="宋体" w:eastAsia="方正仿宋简体" w:cs="方正仿宋简体"/>
          <w:sz w:val="32"/>
          <w:szCs w:val="32"/>
          <w:lang w:val="en-US" w:eastAsia="zh-CN"/>
        </w:rPr>
        <w:t>2021年10月22日</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jc w:val="right"/>
        <w:textAlignment w:val="auto"/>
        <w:rPr>
          <w:rFonts w:hint="eastAsia" w:ascii="宋体" w:hAnsi="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jc w:val="right"/>
        <w:textAlignment w:val="auto"/>
        <w:rPr>
          <w:rFonts w:hint="eastAsia" w:ascii="宋体" w:hAnsi="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宋体" w:hAnsi="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宋体" w:hAnsi="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宋体" w:hAnsi="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宋体" w:hAnsi="宋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default" w:ascii="宋体" w:hAnsi="宋体" w:eastAsia="方正仿宋简体" w:cs="方正仿宋简体"/>
          <w:sz w:val="32"/>
          <w:szCs w:val="32"/>
          <w:lang w:val="en-US" w:eastAsia="zh-CN"/>
        </w:rPr>
      </w:pPr>
    </w:p>
    <w:sectPr>
      <w:footerReference r:id="rId3" w:type="default"/>
      <w:pgSz w:w="11906" w:h="16838"/>
      <w:pgMar w:top="2098" w:right="1474" w:bottom="1417" w:left="158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20ECF"/>
    <w:rsid w:val="09760E60"/>
    <w:rsid w:val="0A404ABF"/>
    <w:rsid w:val="0BEC2932"/>
    <w:rsid w:val="0C3B2FE8"/>
    <w:rsid w:val="0D5F732C"/>
    <w:rsid w:val="0D8E1B28"/>
    <w:rsid w:val="0EAF4E90"/>
    <w:rsid w:val="0EDB1966"/>
    <w:rsid w:val="0F623A27"/>
    <w:rsid w:val="135D15DB"/>
    <w:rsid w:val="14C95A08"/>
    <w:rsid w:val="18426659"/>
    <w:rsid w:val="184E434C"/>
    <w:rsid w:val="1A475A82"/>
    <w:rsid w:val="1B36704E"/>
    <w:rsid w:val="1BF07CDF"/>
    <w:rsid w:val="1C305CEE"/>
    <w:rsid w:val="1D2E592F"/>
    <w:rsid w:val="237623FC"/>
    <w:rsid w:val="296253AC"/>
    <w:rsid w:val="2AFF5D8C"/>
    <w:rsid w:val="2C5656AF"/>
    <w:rsid w:val="2C8D1AC7"/>
    <w:rsid w:val="2DA860C4"/>
    <w:rsid w:val="3135660E"/>
    <w:rsid w:val="319057DC"/>
    <w:rsid w:val="345E271B"/>
    <w:rsid w:val="35ED6ECD"/>
    <w:rsid w:val="38392C84"/>
    <w:rsid w:val="3B74165F"/>
    <w:rsid w:val="3CDB715F"/>
    <w:rsid w:val="3E055A79"/>
    <w:rsid w:val="3E2F0577"/>
    <w:rsid w:val="49EB24F3"/>
    <w:rsid w:val="4CDD6168"/>
    <w:rsid w:val="543201DC"/>
    <w:rsid w:val="556150F2"/>
    <w:rsid w:val="56B01B44"/>
    <w:rsid w:val="5C9D51C3"/>
    <w:rsid w:val="5D0327F7"/>
    <w:rsid w:val="5D5254E5"/>
    <w:rsid w:val="5F85263D"/>
    <w:rsid w:val="604A5C07"/>
    <w:rsid w:val="61C304FD"/>
    <w:rsid w:val="63ED61B0"/>
    <w:rsid w:val="654B188C"/>
    <w:rsid w:val="66245D29"/>
    <w:rsid w:val="6CC839E9"/>
    <w:rsid w:val="6CD664A3"/>
    <w:rsid w:val="6E086124"/>
    <w:rsid w:val="6E5549D4"/>
    <w:rsid w:val="70F14F96"/>
    <w:rsid w:val="719031CE"/>
    <w:rsid w:val="71B0641E"/>
    <w:rsid w:val="71D67027"/>
    <w:rsid w:val="74897B81"/>
    <w:rsid w:val="76041DF7"/>
    <w:rsid w:val="7A7212D5"/>
    <w:rsid w:val="7AAA0E22"/>
    <w:rsid w:val="7BA13ACE"/>
    <w:rsid w:val="7C4743B2"/>
    <w:rsid w:val="7F3E4FEA"/>
    <w:rsid w:val="7FBF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2020-07-06T07:59:00Z</dcterms:created>
  <dc:creator>DELL</dc:creator>
  <cp:lastModifiedBy>梦非非梦</cp:lastModifiedBy>
  <cp:lastPrinted>2020-09-17T00:40:00Z</cp:lastPrinted>
  <dcterms:modified xsi:type="dcterms:W3CDTF">2021-10-22T02:35:58Z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209526618_cloud</vt:lpwstr>
  </property>
  <property fmtid="{D5CDD505-2E9C-101B-9397-08002B2CF9AE}" pid="4" name="ICV">
    <vt:lpwstr>6D457E248EAC4A608D0939E2EB6FB1C1</vt:lpwstr>
  </property>
</Properties>
</file>